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4 beds 2 baths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£630,000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Capworth Street, London</w:t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current vendors have kept this property to the highest of standards and in excellent condition.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fantastic family home also has plenty of space throughout, including a large through lounge, kitchen, two shower rooms and a lovely garden. 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is the home for you if you're searching for a nice home with plenty of space that you can move into right away.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Look no further, book a viewing today!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Capworth street is located in a very sought after location with great local amenities with it being a walking distance to the famous Lea bridge Road.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Train and bus transport links are like no other, with lea bridge road situating almost all buses.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city of London connections are great; Leyton and Leytonstone tube stations on the central line, as well as Leyton Midland on the br line, are all conveniently walking.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Also located very close by to Hackney and Stratford.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is a home that should not be missed, an early viewing is advised. ***AWAITING EPC***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dEl2SajAt6YX9YkP6DOQE9b/xQ==">AMUW2mWOCvnA8Tm1PiNKzigPA4VF2VByW6mdIRnEzpylnqCcK3rntiZiCoSOtEvUMd9TCLZ2esMSiWqu3qmpFRCSo8x4Yf4XecEituXtl6FDFa2PJKK80qc=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2022-01-15T13:16:00Z</dcterms:created>
  <dc:creator>Jaswinder Sira</dc:creator>
</cp:coreProperties>
</file>